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050D3" w14:textId="3A7BB65A" w:rsidR="001C3B05" w:rsidRPr="00252F4D" w:rsidRDefault="00763B3E" w:rsidP="001E109C">
      <w:pPr>
        <w:jc w:val="center"/>
        <w:rPr>
          <w:b/>
          <w:bCs/>
          <w:sz w:val="28"/>
          <w:lang w:val="en-US"/>
        </w:rPr>
      </w:pPr>
      <w:r w:rsidRPr="00252F4D">
        <w:rPr>
          <w:b/>
          <w:bCs/>
          <w:sz w:val="28"/>
          <w:lang w:val="en-US"/>
        </w:rPr>
        <w:t xml:space="preserve">CERTIFICATE COURSE IN </w:t>
      </w:r>
      <w:r w:rsidR="001E109C" w:rsidRPr="00252F4D">
        <w:rPr>
          <w:b/>
          <w:bCs/>
          <w:sz w:val="28"/>
          <w:lang w:val="en-US"/>
        </w:rPr>
        <w:t xml:space="preserve">DIGITAL </w:t>
      </w:r>
      <w:bookmarkStart w:id="0" w:name="_GoBack"/>
      <w:bookmarkEnd w:id="0"/>
      <w:r w:rsidR="001E109C" w:rsidRPr="00252F4D">
        <w:rPr>
          <w:b/>
          <w:bCs/>
          <w:sz w:val="28"/>
          <w:lang w:val="en-US"/>
        </w:rPr>
        <w:t>BANKING</w:t>
      </w:r>
    </w:p>
    <w:tbl>
      <w:tblPr>
        <w:tblW w:w="11058" w:type="dxa"/>
        <w:tblInd w:w="-998" w:type="dxa"/>
        <w:tblLook w:val="04A0" w:firstRow="1" w:lastRow="0" w:firstColumn="1" w:lastColumn="0" w:noHBand="0" w:noVBand="1"/>
      </w:tblPr>
      <w:tblGrid>
        <w:gridCol w:w="993"/>
        <w:gridCol w:w="10065"/>
      </w:tblGrid>
      <w:tr w:rsidR="001E109C" w:rsidRPr="001E109C" w14:paraId="72D6F7B7" w14:textId="77777777" w:rsidTr="001E109C">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545E" w14:textId="4A4D1280" w:rsidR="001E109C" w:rsidRPr="001E109C" w:rsidRDefault="001E109C" w:rsidP="001E109C">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10065" w:type="dxa"/>
            <w:tcBorders>
              <w:top w:val="single" w:sz="4" w:space="0" w:color="auto"/>
              <w:left w:val="nil"/>
              <w:bottom w:val="single" w:sz="4" w:space="0" w:color="auto"/>
              <w:right w:val="single" w:sz="4" w:space="0" w:color="auto"/>
            </w:tcBorders>
            <w:shd w:val="clear" w:color="auto" w:fill="auto"/>
            <w:vAlign w:val="center"/>
          </w:tcPr>
          <w:p w14:paraId="35E37A48" w14:textId="20748BF8" w:rsidR="001E109C" w:rsidRPr="001E109C" w:rsidRDefault="001E109C" w:rsidP="001E109C">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1E109C" w:rsidRPr="001E109C" w14:paraId="5E072CBE" w14:textId="77777777" w:rsidTr="001E109C">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1A4A0" w14:textId="3B9BE96D" w:rsidR="001E109C" w:rsidRPr="001E109C" w:rsidRDefault="001E109C" w:rsidP="001E109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10065" w:type="dxa"/>
            <w:tcBorders>
              <w:top w:val="single" w:sz="4" w:space="0" w:color="auto"/>
              <w:left w:val="nil"/>
              <w:bottom w:val="single" w:sz="4" w:space="0" w:color="auto"/>
              <w:right w:val="single" w:sz="4" w:space="0" w:color="auto"/>
            </w:tcBorders>
            <w:shd w:val="clear" w:color="auto" w:fill="auto"/>
            <w:vAlign w:val="center"/>
          </w:tcPr>
          <w:p w14:paraId="5B65735A" w14:textId="1A3B4DF0" w:rsidR="001E109C" w:rsidRPr="001E109C" w:rsidRDefault="001E109C" w:rsidP="001E109C">
            <w:pPr>
              <w:spacing w:after="0" w:line="240" w:lineRule="auto"/>
              <w:rPr>
                <w:rFonts w:ascii="Calibri" w:eastAsia="Times New Roman" w:hAnsi="Calibri" w:cs="Calibri"/>
                <w:color w:val="000000"/>
                <w:kern w:val="0"/>
                <w:sz w:val="24"/>
                <w:szCs w:val="24"/>
                <w:lang w:eastAsia="en-IN"/>
                <w14:ligatures w14:val="none"/>
              </w:rPr>
            </w:pPr>
            <w:r w:rsidRPr="001E109C">
              <w:rPr>
                <w:rFonts w:ascii="Calibri" w:eastAsia="Times New Roman" w:hAnsi="Calibri" w:cs="Calibri"/>
                <w:color w:val="000000"/>
                <w:kern w:val="0"/>
                <w:sz w:val="24"/>
                <w:szCs w:val="24"/>
                <w:lang w:eastAsia="en-IN"/>
                <w14:ligatures w14:val="none"/>
              </w:rPr>
              <w:t>Issuance of PPIs to Foreign Nationals / Non-Resident Indians (NRIs) visiting India</w:t>
            </w:r>
          </w:p>
        </w:tc>
      </w:tr>
      <w:tr w:rsidR="001E109C" w:rsidRPr="001E109C" w14:paraId="059A561E" w14:textId="77777777" w:rsidTr="001E109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BEA2656" w14:textId="6756BFE7" w:rsidR="001E109C" w:rsidRPr="001E109C" w:rsidRDefault="001E109C" w:rsidP="001E109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10065" w:type="dxa"/>
            <w:tcBorders>
              <w:top w:val="nil"/>
              <w:left w:val="nil"/>
              <w:bottom w:val="single" w:sz="4" w:space="0" w:color="auto"/>
              <w:right w:val="single" w:sz="4" w:space="0" w:color="auto"/>
            </w:tcBorders>
            <w:shd w:val="clear" w:color="auto" w:fill="auto"/>
            <w:vAlign w:val="center"/>
            <w:hideMark/>
          </w:tcPr>
          <w:p w14:paraId="20CD78A7" w14:textId="77777777" w:rsidR="001E109C" w:rsidRPr="001E109C" w:rsidRDefault="001E109C" w:rsidP="001E109C">
            <w:pPr>
              <w:spacing w:after="0" w:line="240" w:lineRule="auto"/>
              <w:rPr>
                <w:rFonts w:ascii="Calibri" w:eastAsia="Times New Roman" w:hAnsi="Calibri" w:cs="Calibri"/>
                <w:color w:val="000000"/>
                <w:kern w:val="0"/>
                <w:sz w:val="24"/>
                <w:szCs w:val="24"/>
                <w:lang w:eastAsia="en-IN"/>
                <w14:ligatures w14:val="none"/>
              </w:rPr>
            </w:pPr>
            <w:r w:rsidRPr="001E109C">
              <w:rPr>
                <w:rFonts w:ascii="Calibri" w:eastAsia="Times New Roman" w:hAnsi="Calibri" w:cs="Calibri"/>
                <w:color w:val="000000"/>
                <w:kern w:val="0"/>
                <w:sz w:val="24"/>
                <w:szCs w:val="24"/>
                <w:lang w:eastAsia="en-IN"/>
                <w14:ligatures w14:val="none"/>
              </w:rPr>
              <w:t>Introduction of Foreign Contribution (Regulation) Act (FCRA) related transaction code in NEFT and RTGS Systems</w:t>
            </w:r>
          </w:p>
        </w:tc>
      </w:tr>
      <w:tr w:rsidR="001E109C" w:rsidRPr="001E109C" w14:paraId="21A95912" w14:textId="77777777" w:rsidTr="001E109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CE68043" w14:textId="060D01CC" w:rsidR="001E109C" w:rsidRPr="001E109C" w:rsidRDefault="001E109C" w:rsidP="001E109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10065" w:type="dxa"/>
            <w:tcBorders>
              <w:top w:val="nil"/>
              <w:left w:val="nil"/>
              <w:bottom w:val="single" w:sz="4" w:space="0" w:color="auto"/>
              <w:right w:val="single" w:sz="4" w:space="0" w:color="auto"/>
            </w:tcBorders>
            <w:shd w:val="clear" w:color="auto" w:fill="auto"/>
            <w:vAlign w:val="center"/>
            <w:hideMark/>
          </w:tcPr>
          <w:p w14:paraId="01D34922" w14:textId="77777777" w:rsidR="001E109C" w:rsidRPr="001E109C" w:rsidRDefault="001E109C" w:rsidP="001E109C">
            <w:pPr>
              <w:spacing w:after="0" w:line="240" w:lineRule="auto"/>
              <w:rPr>
                <w:rFonts w:ascii="Calibri" w:eastAsia="Times New Roman" w:hAnsi="Calibri" w:cs="Calibri"/>
                <w:color w:val="000000"/>
                <w:kern w:val="0"/>
                <w:sz w:val="24"/>
                <w:szCs w:val="24"/>
                <w:lang w:eastAsia="en-IN"/>
                <w14:ligatures w14:val="none"/>
              </w:rPr>
            </w:pPr>
            <w:r w:rsidRPr="001E109C">
              <w:rPr>
                <w:rFonts w:ascii="Calibri" w:eastAsia="Times New Roman" w:hAnsi="Calibri" w:cs="Calibri"/>
                <w:color w:val="000000"/>
                <w:kern w:val="0"/>
                <w:sz w:val="24"/>
                <w:szCs w:val="24"/>
                <w:lang w:eastAsia="en-IN"/>
                <w14:ligatures w14:val="none"/>
              </w:rPr>
              <w:t>Master Direction on Outsourcing of Information Technology Services</w:t>
            </w:r>
          </w:p>
        </w:tc>
      </w:tr>
      <w:tr w:rsidR="001E109C" w:rsidRPr="001E109C" w14:paraId="429A5E7E" w14:textId="77777777" w:rsidTr="001E109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8CAD876" w14:textId="3C0AB2C5" w:rsidR="001E109C" w:rsidRPr="001E109C" w:rsidRDefault="001E109C" w:rsidP="001E109C">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10065" w:type="dxa"/>
            <w:tcBorders>
              <w:top w:val="nil"/>
              <w:left w:val="nil"/>
              <w:bottom w:val="single" w:sz="4" w:space="0" w:color="auto"/>
              <w:right w:val="single" w:sz="4" w:space="0" w:color="auto"/>
            </w:tcBorders>
            <w:shd w:val="clear" w:color="auto" w:fill="auto"/>
            <w:vAlign w:val="bottom"/>
            <w:hideMark/>
          </w:tcPr>
          <w:p w14:paraId="18DF1E4E" w14:textId="77777777" w:rsidR="001E109C" w:rsidRPr="001E109C" w:rsidRDefault="001E109C" w:rsidP="001E109C">
            <w:pPr>
              <w:spacing w:after="0" w:line="240" w:lineRule="auto"/>
              <w:rPr>
                <w:rFonts w:ascii="Calibri" w:eastAsia="Times New Roman" w:hAnsi="Calibri" w:cs="Calibri"/>
                <w:color w:val="000000"/>
                <w:kern w:val="0"/>
                <w:sz w:val="24"/>
                <w:szCs w:val="24"/>
                <w:lang w:eastAsia="en-IN"/>
                <w14:ligatures w14:val="none"/>
              </w:rPr>
            </w:pPr>
            <w:r w:rsidRPr="001E109C">
              <w:rPr>
                <w:rFonts w:ascii="Calibri" w:eastAsia="Times New Roman" w:hAnsi="Calibri" w:cs="Calibri"/>
                <w:color w:val="000000"/>
                <w:kern w:val="0"/>
                <w:sz w:val="24"/>
                <w:szCs w:val="24"/>
                <w:lang w:eastAsia="en-IN"/>
                <w14:ligatures w14:val="none"/>
              </w:rPr>
              <w:t>Guidelines on Default Loss Guarantee (DLG) in Digital Lending</w:t>
            </w:r>
          </w:p>
        </w:tc>
      </w:tr>
    </w:tbl>
    <w:p w14:paraId="100E62A8" w14:textId="77777777" w:rsidR="001E109C" w:rsidRDefault="001E109C" w:rsidP="001E109C">
      <w:pPr>
        <w:rPr>
          <w:b/>
          <w:bCs/>
          <w:lang w:val="en-US"/>
        </w:rPr>
      </w:pPr>
    </w:p>
    <w:p w14:paraId="51454B96" w14:textId="77777777" w:rsidR="00592E59" w:rsidRDefault="00592E59" w:rsidP="001E109C">
      <w:pPr>
        <w:rPr>
          <w:b/>
          <w:bCs/>
          <w:lang w:val="en-US"/>
        </w:rPr>
      </w:pPr>
    </w:p>
    <w:p w14:paraId="2192BC89" w14:textId="77777777" w:rsidR="00592E59" w:rsidRDefault="00592E59" w:rsidP="001E109C">
      <w:pPr>
        <w:rPr>
          <w:b/>
          <w:bCs/>
          <w:lang w:val="en-US"/>
        </w:rPr>
      </w:pPr>
    </w:p>
    <w:p w14:paraId="5E75994F" w14:textId="77777777" w:rsidR="00592E59" w:rsidRDefault="00592E59" w:rsidP="001E109C">
      <w:pPr>
        <w:rPr>
          <w:b/>
          <w:bCs/>
          <w:lang w:val="en-US"/>
        </w:rPr>
      </w:pPr>
    </w:p>
    <w:p w14:paraId="43E7A9C0" w14:textId="77777777" w:rsidR="00592E59" w:rsidRDefault="00592E59" w:rsidP="001E109C">
      <w:pPr>
        <w:rPr>
          <w:b/>
          <w:bCs/>
          <w:lang w:val="en-US"/>
        </w:rPr>
      </w:pPr>
    </w:p>
    <w:p w14:paraId="13EA0489" w14:textId="77777777" w:rsidR="00592E59" w:rsidRDefault="00592E59" w:rsidP="001E109C">
      <w:pPr>
        <w:rPr>
          <w:b/>
          <w:bCs/>
          <w:lang w:val="en-US"/>
        </w:rPr>
      </w:pPr>
    </w:p>
    <w:p w14:paraId="48179B82" w14:textId="77777777" w:rsidR="00592E59" w:rsidRDefault="00592E59" w:rsidP="001E109C">
      <w:pPr>
        <w:rPr>
          <w:b/>
          <w:bCs/>
          <w:lang w:val="en-US"/>
        </w:rPr>
      </w:pPr>
    </w:p>
    <w:p w14:paraId="6EFC7680" w14:textId="77777777" w:rsidR="00592E59" w:rsidRDefault="00592E59" w:rsidP="001E109C">
      <w:pPr>
        <w:rPr>
          <w:b/>
          <w:bCs/>
          <w:lang w:val="en-US"/>
        </w:rPr>
      </w:pPr>
    </w:p>
    <w:p w14:paraId="4D2E70B5" w14:textId="77777777" w:rsidR="00592E59" w:rsidRDefault="00592E59" w:rsidP="001E109C">
      <w:pPr>
        <w:rPr>
          <w:b/>
          <w:bCs/>
          <w:lang w:val="en-US"/>
        </w:rPr>
      </w:pPr>
    </w:p>
    <w:p w14:paraId="5A745600" w14:textId="77777777" w:rsidR="00592E59" w:rsidRDefault="00592E59" w:rsidP="001E109C">
      <w:pPr>
        <w:rPr>
          <w:b/>
          <w:bCs/>
          <w:lang w:val="en-US"/>
        </w:rPr>
      </w:pPr>
    </w:p>
    <w:p w14:paraId="6C6467EF" w14:textId="77777777" w:rsidR="00592E59" w:rsidRDefault="00592E59" w:rsidP="001E109C">
      <w:pPr>
        <w:rPr>
          <w:b/>
          <w:bCs/>
          <w:lang w:val="en-US"/>
        </w:rPr>
      </w:pPr>
    </w:p>
    <w:p w14:paraId="4EE08804" w14:textId="77777777" w:rsidR="00592E59" w:rsidRDefault="00592E59" w:rsidP="001E109C">
      <w:pPr>
        <w:rPr>
          <w:b/>
          <w:bCs/>
          <w:lang w:val="en-US"/>
        </w:rPr>
      </w:pPr>
    </w:p>
    <w:p w14:paraId="19AE3330" w14:textId="77777777" w:rsidR="00592E59" w:rsidRDefault="00592E59" w:rsidP="001E109C">
      <w:pPr>
        <w:rPr>
          <w:b/>
          <w:bCs/>
          <w:lang w:val="en-US"/>
        </w:rPr>
      </w:pPr>
    </w:p>
    <w:p w14:paraId="38191CE5" w14:textId="77777777" w:rsidR="00592E59" w:rsidRDefault="00592E59" w:rsidP="001E109C">
      <w:pPr>
        <w:rPr>
          <w:b/>
          <w:bCs/>
          <w:lang w:val="en-US"/>
        </w:rPr>
      </w:pPr>
    </w:p>
    <w:p w14:paraId="7509BEAB" w14:textId="77777777" w:rsidR="00592E59" w:rsidRDefault="00592E59" w:rsidP="001E109C">
      <w:pPr>
        <w:rPr>
          <w:b/>
          <w:bCs/>
          <w:lang w:val="en-US"/>
        </w:rPr>
      </w:pPr>
    </w:p>
    <w:p w14:paraId="0D29602E" w14:textId="77777777" w:rsidR="00592E59" w:rsidRDefault="00592E59" w:rsidP="001E109C">
      <w:pPr>
        <w:rPr>
          <w:b/>
          <w:bCs/>
          <w:lang w:val="en-US"/>
        </w:rPr>
      </w:pPr>
    </w:p>
    <w:p w14:paraId="5B103BC1" w14:textId="77777777" w:rsidR="00592E59" w:rsidRDefault="00592E59" w:rsidP="001E109C">
      <w:pPr>
        <w:rPr>
          <w:b/>
          <w:bCs/>
          <w:lang w:val="en-US"/>
        </w:rPr>
      </w:pPr>
    </w:p>
    <w:p w14:paraId="2FEE8386" w14:textId="77777777" w:rsidR="00592E59" w:rsidRDefault="00592E59" w:rsidP="001E109C">
      <w:pPr>
        <w:rPr>
          <w:b/>
          <w:bCs/>
          <w:lang w:val="en-US"/>
        </w:rPr>
      </w:pPr>
    </w:p>
    <w:p w14:paraId="4FEE2AE9" w14:textId="77777777" w:rsidR="00592E59" w:rsidRDefault="00592E59" w:rsidP="001E109C">
      <w:pPr>
        <w:rPr>
          <w:b/>
          <w:bCs/>
          <w:lang w:val="en-US"/>
        </w:rPr>
      </w:pPr>
    </w:p>
    <w:p w14:paraId="7F3C5898" w14:textId="77777777" w:rsidR="00592E59" w:rsidRDefault="00592E59" w:rsidP="001E109C">
      <w:pPr>
        <w:rPr>
          <w:b/>
          <w:bCs/>
          <w:lang w:val="en-US"/>
        </w:rPr>
      </w:pPr>
    </w:p>
    <w:p w14:paraId="6335D603" w14:textId="77777777" w:rsidR="00592E59" w:rsidRDefault="00592E59" w:rsidP="001E109C">
      <w:pPr>
        <w:rPr>
          <w:b/>
          <w:bCs/>
          <w:lang w:val="en-US"/>
        </w:rPr>
      </w:pPr>
    </w:p>
    <w:p w14:paraId="39D49880" w14:textId="77777777" w:rsidR="00592E59" w:rsidRDefault="00592E59" w:rsidP="001E109C">
      <w:pPr>
        <w:rPr>
          <w:b/>
          <w:bCs/>
          <w:lang w:val="en-US"/>
        </w:rPr>
      </w:pPr>
    </w:p>
    <w:p w14:paraId="79808D40" w14:textId="77777777" w:rsidR="00592E59" w:rsidRDefault="00592E59" w:rsidP="001E109C">
      <w:pPr>
        <w:rPr>
          <w:b/>
          <w:bCs/>
          <w:lang w:val="en-US"/>
        </w:rPr>
      </w:pPr>
    </w:p>
    <w:p w14:paraId="4D4EE944" w14:textId="77777777" w:rsidR="00592E59" w:rsidRDefault="00592E59" w:rsidP="001E109C">
      <w:pPr>
        <w:rPr>
          <w:b/>
          <w:bCs/>
          <w:lang w:val="en-US"/>
        </w:rPr>
      </w:pPr>
    </w:p>
    <w:p w14:paraId="288EE956" w14:textId="77777777" w:rsidR="00592E59" w:rsidRDefault="00592E59" w:rsidP="001E109C">
      <w:pPr>
        <w:rPr>
          <w:b/>
          <w:bCs/>
          <w:lang w:val="en-US"/>
        </w:rPr>
      </w:pPr>
    </w:p>
    <w:p w14:paraId="735617F7" w14:textId="77777777" w:rsidR="00592E59" w:rsidRDefault="00592E59" w:rsidP="001E109C">
      <w:pPr>
        <w:rPr>
          <w:b/>
          <w:bCs/>
          <w:lang w:val="en-US"/>
        </w:rPr>
      </w:pPr>
    </w:p>
    <w:p w14:paraId="601F0941" w14:textId="77777777" w:rsidR="00592E59" w:rsidRDefault="00592E59" w:rsidP="00592E59">
      <w:pPr>
        <w:pStyle w:val="NormalWeb"/>
        <w:rPr>
          <w:rFonts w:ascii="Arial" w:hAnsi="Arial" w:cs="Arial"/>
          <w:b/>
          <w:bCs/>
          <w:color w:val="000000"/>
          <w:sz w:val="20"/>
          <w:szCs w:val="20"/>
        </w:rPr>
      </w:pPr>
      <w:bookmarkStart w:id="1" w:name="OLE_LINK20"/>
      <w:r>
        <w:rPr>
          <w:rFonts w:ascii="Arial" w:hAnsi="Arial" w:cs="Arial"/>
          <w:b/>
          <w:bCs/>
          <w:color w:val="000000"/>
          <w:sz w:val="20"/>
          <w:szCs w:val="20"/>
        </w:rPr>
        <w:lastRenderedPageBreak/>
        <w:t>Issuance of PPIs to Foreign Nationals / Non-Resident Indians (NRIs) visiting India</w:t>
      </w:r>
    </w:p>
    <w:bookmarkEnd w:id="1"/>
    <w:p w14:paraId="21B2DD34"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RBI/2022-23/176</w:t>
      </w:r>
      <w:r>
        <w:rPr>
          <w:rFonts w:ascii="Arial" w:hAnsi="Arial" w:cs="Arial"/>
          <w:color w:val="000000"/>
          <w:sz w:val="20"/>
          <w:szCs w:val="20"/>
        </w:rPr>
        <w:br/>
      </w:r>
      <w:proofErr w:type="spellStart"/>
      <w:r>
        <w:rPr>
          <w:rFonts w:ascii="Arial" w:hAnsi="Arial" w:cs="Arial"/>
          <w:color w:val="000000"/>
          <w:sz w:val="20"/>
          <w:szCs w:val="20"/>
        </w:rPr>
        <w:t>CO.DPSS.POLC.No.S</w:t>
      </w:r>
      <w:proofErr w:type="spellEnd"/>
      <w:r>
        <w:rPr>
          <w:rFonts w:ascii="Arial" w:hAnsi="Arial" w:cs="Arial"/>
          <w:color w:val="000000"/>
          <w:sz w:val="20"/>
          <w:szCs w:val="20"/>
        </w:rPr>
        <w:t>–1907/02.14.006/2022-23</w:t>
      </w:r>
    </w:p>
    <w:p w14:paraId="65DCDE84" w14:textId="77777777" w:rsidR="00592E59" w:rsidRDefault="00592E59" w:rsidP="00592E59">
      <w:pPr>
        <w:pStyle w:val="NormalWeb"/>
        <w:jc w:val="right"/>
        <w:rPr>
          <w:rFonts w:ascii="Arial" w:hAnsi="Arial" w:cs="Arial"/>
          <w:color w:val="000000"/>
          <w:sz w:val="20"/>
          <w:szCs w:val="20"/>
        </w:rPr>
      </w:pPr>
      <w:r>
        <w:rPr>
          <w:rFonts w:ascii="Arial" w:hAnsi="Arial" w:cs="Arial"/>
          <w:color w:val="000000"/>
          <w:sz w:val="20"/>
          <w:szCs w:val="20"/>
        </w:rPr>
        <w:t>February 10, 2023</w:t>
      </w:r>
    </w:p>
    <w:p w14:paraId="65516ADB" w14:textId="77777777" w:rsidR="00592E59" w:rsidRDefault="00592E59" w:rsidP="00592E59">
      <w:pPr>
        <w:pStyle w:val="NormalWeb"/>
        <w:rPr>
          <w:rFonts w:ascii="Arial" w:hAnsi="Arial" w:cs="Arial"/>
          <w:color w:val="000000"/>
          <w:sz w:val="20"/>
          <w:szCs w:val="20"/>
        </w:rPr>
      </w:pPr>
      <w:r>
        <w:rPr>
          <w:rFonts w:ascii="Arial" w:hAnsi="Arial" w:cs="Arial"/>
          <w:color w:val="000000"/>
          <w:sz w:val="20"/>
          <w:szCs w:val="20"/>
        </w:rPr>
        <w:t>All Prepaid Payment Instrument (PPI) Issuers (Banks and Non-banks)</w:t>
      </w:r>
      <w:r>
        <w:rPr>
          <w:rFonts w:ascii="Arial" w:hAnsi="Arial" w:cs="Arial"/>
          <w:color w:val="000000"/>
          <w:sz w:val="20"/>
          <w:szCs w:val="20"/>
        </w:rPr>
        <w:br/>
        <w:t>and National Payments Corporation of India (NPCI)</w:t>
      </w:r>
    </w:p>
    <w:p w14:paraId="7F7D4BE4"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Madam / Dear Sir,</w:t>
      </w:r>
    </w:p>
    <w:p w14:paraId="04D55F18" w14:textId="77777777" w:rsidR="00592E59" w:rsidRDefault="00592E59" w:rsidP="00592E59">
      <w:pPr>
        <w:pStyle w:val="head"/>
        <w:jc w:val="center"/>
        <w:rPr>
          <w:rFonts w:ascii="Arial" w:hAnsi="Arial" w:cs="Arial"/>
          <w:b/>
          <w:bCs/>
          <w:color w:val="000000"/>
          <w:sz w:val="20"/>
          <w:szCs w:val="20"/>
        </w:rPr>
      </w:pPr>
      <w:r>
        <w:rPr>
          <w:rFonts w:ascii="Arial" w:hAnsi="Arial" w:cs="Arial"/>
          <w:b/>
          <w:bCs/>
          <w:color w:val="000000"/>
          <w:sz w:val="20"/>
          <w:szCs w:val="20"/>
        </w:rPr>
        <w:t>Issuance of PPIs to Foreign Nationals / Non-Resident Indians (NRIs) visiting India</w:t>
      </w:r>
    </w:p>
    <w:p w14:paraId="08ADD98A"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4" w:tgtFrame="_blank" w:history="1">
        <w:r>
          <w:rPr>
            <w:rStyle w:val="Hyperlink"/>
            <w:rFonts w:ascii="Arial" w:hAnsi="Arial" w:cs="Arial"/>
            <w:sz w:val="20"/>
            <w:szCs w:val="20"/>
          </w:rPr>
          <w:t>Statement on Developmental and Regulatory Policies dated February 08, 2023</w:t>
        </w:r>
      </w:hyperlink>
      <w:r>
        <w:rPr>
          <w:rFonts w:ascii="Arial" w:hAnsi="Arial" w:cs="Arial"/>
          <w:color w:val="000000"/>
          <w:sz w:val="20"/>
          <w:szCs w:val="20"/>
        </w:rPr>
        <w:t>, it has been decided to allow access to Unified Payments Interface (UPI) to foreign nationals and NRIs visiting India. To start with, this facility will be extended to travellers from the G-20 countries at select international airports for their merchant payments (P2M) while they are in the country. Going forward, this will be enabled across all entry points in the country. The </w:t>
      </w:r>
      <w:hyperlink r:id="rId5" w:tgtFrame="_blank" w:history="1">
        <w:r>
          <w:rPr>
            <w:rStyle w:val="Hyperlink"/>
            <w:rFonts w:ascii="Arial" w:hAnsi="Arial" w:cs="Arial"/>
            <w:sz w:val="20"/>
            <w:szCs w:val="20"/>
          </w:rPr>
          <w:t>Master Directions on Prepaid Payment Instruments (PPIs) dated August 27, 2021</w:t>
        </w:r>
      </w:hyperlink>
      <w:r>
        <w:rPr>
          <w:rFonts w:ascii="Arial" w:hAnsi="Arial" w:cs="Arial"/>
          <w:color w:val="000000"/>
          <w:sz w:val="20"/>
          <w:szCs w:val="20"/>
        </w:rPr>
        <w:t> (updated as on November 12, 2021) has been updated by inserting </w:t>
      </w:r>
      <w:hyperlink r:id="rId6" w:anchor="PARA103" w:tgtFrame="_blank" w:history="1">
        <w:r>
          <w:rPr>
            <w:rStyle w:val="Hyperlink"/>
            <w:rFonts w:ascii="Arial" w:hAnsi="Arial" w:cs="Arial"/>
            <w:sz w:val="20"/>
            <w:szCs w:val="20"/>
          </w:rPr>
          <w:t>paragraph 10.3</w:t>
        </w:r>
      </w:hyperlink>
      <w:r>
        <w:rPr>
          <w:rFonts w:ascii="Arial" w:hAnsi="Arial" w:cs="Arial"/>
          <w:color w:val="000000"/>
          <w:sz w:val="20"/>
          <w:szCs w:val="20"/>
        </w:rPr>
        <w:t> therein.</w:t>
      </w:r>
    </w:p>
    <w:p w14:paraId="107F30FE"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2. These instructions shall come into effect immediately.</w:t>
      </w:r>
    </w:p>
    <w:p w14:paraId="7A873A0A"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3. This circular is issued under Section 10 (2) read with Section 18 of the Payment and Settlement Systems Act, 2007 (Act 51 of 2007).</w:t>
      </w:r>
    </w:p>
    <w:p w14:paraId="30CA938F"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Yours faithfully,</w:t>
      </w:r>
    </w:p>
    <w:p w14:paraId="668BAD96" w14:textId="77777777" w:rsidR="00592E59" w:rsidRDefault="00592E59" w:rsidP="00592E59">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178F4F20" w14:textId="77777777" w:rsidR="00592E59" w:rsidRDefault="00592E59" w:rsidP="00592E59">
      <w:pPr>
        <w:pStyle w:val="NormalWeb"/>
        <w:rPr>
          <w:rFonts w:ascii="Arial" w:hAnsi="Arial" w:cs="Arial"/>
          <w:color w:val="000000"/>
          <w:sz w:val="20"/>
          <w:szCs w:val="20"/>
        </w:rPr>
      </w:pPr>
    </w:p>
    <w:p w14:paraId="6FDB4D39" w14:textId="77777777" w:rsidR="00592E59" w:rsidRDefault="00592E59" w:rsidP="00592E59">
      <w:r>
        <w:t>More details can be referred to in the below link.</w:t>
      </w:r>
    </w:p>
    <w:p w14:paraId="4B2E724D" w14:textId="77777777" w:rsidR="00592E59" w:rsidRDefault="00592E59" w:rsidP="00592E5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5F425E">
          <w:rPr>
            <w:rStyle w:val="Hyperlink"/>
            <w:rFonts w:ascii="Arial" w:hAnsi="Arial" w:cs="Arial"/>
            <w:bCs/>
            <w:sz w:val="20"/>
            <w:szCs w:val="20"/>
          </w:rPr>
          <w:t>https://rbi.org.in/Scripts/NotificationUser.aspx?Id=12452&amp;Mode=0</w:t>
        </w:r>
      </w:hyperlink>
    </w:p>
    <w:p w14:paraId="4FE3D1B5" w14:textId="77777777" w:rsidR="00592E59" w:rsidRDefault="00592E59" w:rsidP="00592E59">
      <w:pPr>
        <w:pStyle w:val="NormalWeb"/>
        <w:rPr>
          <w:b/>
        </w:rPr>
      </w:pPr>
    </w:p>
    <w:p w14:paraId="71F0EF82" w14:textId="77777777" w:rsidR="00592E59" w:rsidRDefault="00592E59" w:rsidP="00592E59">
      <w:pPr>
        <w:pStyle w:val="NormalWeb"/>
        <w:rPr>
          <w:b/>
        </w:rPr>
      </w:pPr>
    </w:p>
    <w:p w14:paraId="43213780" w14:textId="77777777" w:rsidR="00592E59" w:rsidRDefault="00592E59" w:rsidP="00592E59">
      <w:pPr>
        <w:pStyle w:val="NormalWeb"/>
        <w:rPr>
          <w:b/>
        </w:rPr>
      </w:pPr>
    </w:p>
    <w:p w14:paraId="6C5B0B47" w14:textId="77777777" w:rsidR="00592E59" w:rsidRDefault="00592E59" w:rsidP="00592E59">
      <w:pPr>
        <w:pStyle w:val="NormalWeb"/>
        <w:rPr>
          <w:b/>
        </w:rPr>
      </w:pPr>
    </w:p>
    <w:p w14:paraId="7BCCA491" w14:textId="77777777" w:rsidR="00592E59" w:rsidRDefault="00592E59" w:rsidP="00592E59">
      <w:pPr>
        <w:pStyle w:val="NormalWeb"/>
        <w:rPr>
          <w:b/>
        </w:rPr>
      </w:pPr>
    </w:p>
    <w:p w14:paraId="74D23F97" w14:textId="77777777" w:rsidR="00592E59" w:rsidRDefault="00592E59" w:rsidP="00592E59">
      <w:pPr>
        <w:pStyle w:val="NormalWeb"/>
        <w:rPr>
          <w:b/>
        </w:rPr>
      </w:pPr>
    </w:p>
    <w:p w14:paraId="40DE79DE" w14:textId="77777777" w:rsidR="00592E59" w:rsidRDefault="00592E59" w:rsidP="00592E59">
      <w:pPr>
        <w:pStyle w:val="NormalWeb"/>
        <w:rPr>
          <w:b/>
        </w:rPr>
      </w:pPr>
    </w:p>
    <w:p w14:paraId="2FFEE189" w14:textId="77777777" w:rsidR="00592E59" w:rsidRDefault="00592E59" w:rsidP="001E109C">
      <w:pPr>
        <w:rPr>
          <w:b/>
          <w:bCs/>
          <w:lang w:val="en-US"/>
        </w:rPr>
      </w:pPr>
    </w:p>
    <w:p w14:paraId="39DF7A0C" w14:textId="77777777" w:rsidR="00592E59" w:rsidRDefault="00592E59" w:rsidP="00592E59">
      <w:pPr>
        <w:pStyle w:val="NormalWeb"/>
        <w:rPr>
          <w:rFonts w:ascii="Arial" w:hAnsi="Arial" w:cs="Arial"/>
          <w:b/>
          <w:bCs/>
          <w:color w:val="000000"/>
          <w:sz w:val="20"/>
          <w:szCs w:val="20"/>
        </w:rPr>
      </w:pPr>
      <w:bookmarkStart w:id="2" w:name="OLE_LINK22"/>
      <w:bookmarkStart w:id="3" w:name="_Hlk141825690"/>
      <w:r>
        <w:rPr>
          <w:rFonts w:ascii="Arial" w:hAnsi="Arial" w:cs="Arial"/>
          <w:b/>
          <w:bCs/>
          <w:color w:val="000000"/>
          <w:sz w:val="20"/>
          <w:szCs w:val="20"/>
        </w:rPr>
        <w:lastRenderedPageBreak/>
        <w:t>Introduction of Foreign Contribution (Regulation) Act (FCRA) related transaction code in NEFT and RTGS Systems</w:t>
      </w:r>
    </w:p>
    <w:bookmarkEnd w:id="2"/>
    <w:p w14:paraId="4D59FB32"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RBI/2022-23/178</w:t>
      </w:r>
      <w:r>
        <w:rPr>
          <w:rFonts w:ascii="Arial" w:hAnsi="Arial" w:cs="Arial"/>
          <w:color w:val="000000"/>
          <w:sz w:val="20"/>
          <w:szCs w:val="20"/>
        </w:rPr>
        <w:br/>
        <w:t>CO.DPSS.RPPD.No.S1931/04-03-001/2022-23</w:t>
      </w:r>
    </w:p>
    <w:p w14:paraId="10068908" w14:textId="77777777" w:rsidR="00592E59" w:rsidRDefault="00592E59" w:rsidP="00592E59">
      <w:pPr>
        <w:pStyle w:val="NormalWeb"/>
        <w:jc w:val="right"/>
        <w:rPr>
          <w:rFonts w:ascii="Arial" w:hAnsi="Arial" w:cs="Arial"/>
          <w:color w:val="000000"/>
          <w:sz w:val="20"/>
          <w:szCs w:val="20"/>
        </w:rPr>
      </w:pPr>
      <w:r>
        <w:rPr>
          <w:rFonts w:ascii="Arial" w:hAnsi="Arial" w:cs="Arial"/>
          <w:color w:val="000000"/>
          <w:sz w:val="20"/>
          <w:szCs w:val="20"/>
        </w:rPr>
        <w:t>February 16, 2023</w:t>
      </w:r>
    </w:p>
    <w:p w14:paraId="65C39F8B" w14:textId="77777777" w:rsidR="00592E59" w:rsidRDefault="00592E59" w:rsidP="00592E59">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of member banks participating in NEFT and RTGS Systems</w:t>
      </w:r>
    </w:p>
    <w:p w14:paraId="1CCC74B6"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Madam / Dear Sir,</w:t>
      </w:r>
    </w:p>
    <w:p w14:paraId="6AA61C18" w14:textId="77777777" w:rsidR="00592E59" w:rsidRDefault="00592E59" w:rsidP="00592E59">
      <w:pPr>
        <w:pStyle w:val="head"/>
        <w:jc w:val="both"/>
        <w:rPr>
          <w:rFonts w:ascii="Arial" w:hAnsi="Arial" w:cs="Arial"/>
          <w:b/>
          <w:bCs/>
          <w:color w:val="000000"/>
          <w:sz w:val="20"/>
          <w:szCs w:val="20"/>
        </w:rPr>
      </w:pPr>
      <w:r>
        <w:rPr>
          <w:rFonts w:ascii="Arial" w:hAnsi="Arial" w:cs="Arial"/>
          <w:b/>
          <w:bCs/>
          <w:color w:val="000000"/>
          <w:sz w:val="20"/>
          <w:szCs w:val="20"/>
        </w:rPr>
        <w:t>Introduction of Foreign Contribution (Regulation) Act (FCRA) related transaction code in NEFT and RTGS Systems</w:t>
      </w:r>
    </w:p>
    <w:p w14:paraId="0190A47B"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Under the FCRA, 2010 (amended as on September 28, 2020), foreign contributions must be received only in the “FCRA account” of State Bank of India (SBI), New Delhi Main Branch (NDMB). The contributions to the FCRA account are received directly from foreign banks through SWIFT and from Indian intermediary banks through NEFT and RTGS systems.</w:t>
      </w:r>
    </w:p>
    <w:p w14:paraId="2502BB68"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2. In terms of extant requirements of Ministry of Home Affairs (MHA), Government of India, the donor details such as name, address, country of origin, amount, currency, and purpose of remittance are required to be captured in such transactions and SBI is required to report the same to MHA on daily basis.</w:t>
      </w:r>
    </w:p>
    <w:p w14:paraId="74DC4B83"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3. Keeping in view the above, necessary changes have been introduced in NEFT and RTGS systems, technical details of which are provided in </w:t>
      </w:r>
      <w:hyperlink r:id="rId8" w:anchor="AN1" w:history="1">
        <w:r>
          <w:rPr>
            <w:rStyle w:val="Hyperlink"/>
            <w:rFonts w:ascii="Arial" w:hAnsi="Arial" w:cs="Arial"/>
            <w:sz w:val="20"/>
            <w:szCs w:val="20"/>
          </w:rPr>
          <w:t>Annex</w:t>
        </w:r>
      </w:hyperlink>
      <w:r>
        <w:rPr>
          <w:rFonts w:ascii="Arial" w:hAnsi="Arial" w:cs="Arial"/>
          <w:color w:val="000000"/>
          <w:sz w:val="20"/>
          <w:szCs w:val="20"/>
        </w:rPr>
        <w:t>. Member banks are advised to incorporate necessary changes in their core banking / middleware solutions to capture the requisite details while forwarding the foreign donations through NEFT and RTGS systems to SBI. The instructions will be effective from March 15, 2023.</w:t>
      </w:r>
    </w:p>
    <w:p w14:paraId="4249D7EA"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4. These instructions are issued under Section 10 (2) read with Section 18 of Payment and Settlement Systems Act, 2007 (Act 51 of 2007).</w:t>
      </w:r>
    </w:p>
    <w:p w14:paraId="25ECFCDB"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Yours faithfully,</w:t>
      </w:r>
    </w:p>
    <w:p w14:paraId="0FAD3707" w14:textId="77777777" w:rsidR="00592E59" w:rsidRDefault="00592E59" w:rsidP="00592E59">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0324B661" w14:textId="77777777" w:rsidR="00592E59" w:rsidRDefault="00592E59" w:rsidP="00592E59">
      <w:pPr>
        <w:pStyle w:val="NormalWeb"/>
        <w:rPr>
          <w:b/>
        </w:rPr>
      </w:pPr>
    </w:p>
    <w:p w14:paraId="32754882" w14:textId="77777777" w:rsidR="00592E59" w:rsidRDefault="00592E59" w:rsidP="00592E59">
      <w:r>
        <w:t>More details can be referred to in the below link.</w:t>
      </w:r>
    </w:p>
    <w:p w14:paraId="586B6F94" w14:textId="77777777" w:rsidR="00592E59" w:rsidRDefault="00592E59" w:rsidP="00592E5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5F425E">
          <w:rPr>
            <w:rStyle w:val="Hyperlink"/>
            <w:rFonts w:ascii="Arial" w:hAnsi="Arial" w:cs="Arial"/>
            <w:bCs/>
            <w:sz w:val="20"/>
            <w:szCs w:val="20"/>
          </w:rPr>
          <w:t>https://rbi.org.in/Scripts/NotificationUser.aspx?Id=12454&amp;Mode=0</w:t>
        </w:r>
      </w:hyperlink>
    </w:p>
    <w:p w14:paraId="2CA47521" w14:textId="77777777" w:rsidR="00592E59" w:rsidRDefault="00592E59" w:rsidP="00592E59">
      <w:pPr>
        <w:pStyle w:val="NormalWeb"/>
        <w:rPr>
          <w:rFonts w:ascii="Arial" w:hAnsi="Arial" w:cs="Arial"/>
          <w:bCs/>
          <w:color w:val="000000"/>
          <w:sz w:val="20"/>
          <w:szCs w:val="20"/>
        </w:rPr>
      </w:pPr>
    </w:p>
    <w:p w14:paraId="3C2E5033" w14:textId="77777777" w:rsidR="00592E59" w:rsidRDefault="00592E59" w:rsidP="00592E59">
      <w:pPr>
        <w:pStyle w:val="NormalWeb"/>
        <w:rPr>
          <w:rFonts w:ascii="Arial" w:hAnsi="Arial" w:cs="Arial"/>
          <w:bCs/>
          <w:color w:val="000000"/>
          <w:sz w:val="20"/>
          <w:szCs w:val="20"/>
        </w:rPr>
      </w:pPr>
    </w:p>
    <w:p w14:paraId="57C78CDE" w14:textId="77777777" w:rsidR="00592E59" w:rsidRDefault="00592E59" w:rsidP="00592E59">
      <w:pPr>
        <w:pStyle w:val="NormalWeb"/>
        <w:rPr>
          <w:rFonts w:ascii="Arial" w:hAnsi="Arial" w:cs="Arial"/>
          <w:bCs/>
          <w:color w:val="000000"/>
          <w:sz w:val="20"/>
          <w:szCs w:val="20"/>
        </w:rPr>
      </w:pPr>
    </w:p>
    <w:p w14:paraId="1D740069" w14:textId="77777777" w:rsidR="00592E59" w:rsidRDefault="00592E59" w:rsidP="00592E59">
      <w:pPr>
        <w:pStyle w:val="NormalWeb"/>
        <w:rPr>
          <w:rFonts w:ascii="Arial" w:hAnsi="Arial" w:cs="Arial"/>
          <w:bCs/>
          <w:color w:val="000000"/>
          <w:sz w:val="20"/>
          <w:szCs w:val="20"/>
        </w:rPr>
      </w:pPr>
    </w:p>
    <w:bookmarkEnd w:id="3"/>
    <w:p w14:paraId="0C5A0DF7" w14:textId="77777777" w:rsidR="00592E59" w:rsidRDefault="00592E59" w:rsidP="001E109C">
      <w:pPr>
        <w:rPr>
          <w:b/>
          <w:bCs/>
          <w:lang w:val="en-US"/>
        </w:rPr>
      </w:pPr>
    </w:p>
    <w:p w14:paraId="66768025" w14:textId="77777777" w:rsidR="00592E59" w:rsidRDefault="00592E59" w:rsidP="00592E59">
      <w:pPr>
        <w:spacing w:after="0"/>
        <w:rPr>
          <w:rFonts w:ascii="Arial" w:hAnsi="Arial" w:cs="Arial"/>
          <w:b/>
          <w:bCs/>
          <w:color w:val="000000"/>
          <w:sz w:val="20"/>
          <w:szCs w:val="20"/>
        </w:rPr>
      </w:pPr>
      <w:bookmarkStart w:id="4" w:name="OLE_LINK55"/>
      <w:bookmarkStart w:id="5" w:name="_Hlk141829216"/>
      <w:r>
        <w:rPr>
          <w:rFonts w:ascii="Arial" w:hAnsi="Arial" w:cs="Arial"/>
          <w:b/>
          <w:bCs/>
          <w:color w:val="000000"/>
          <w:sz w:val="20"/>
          <w:szCs w:val="20"/>
        </w:rPr>
        <w:lastRenderedPageBreak/>
        <w:t>Master Direction on Outsourcing of Information Technology Services</w:t>
      </w:r>
    </w:p>
    <w:bookmarkEnd w:id="4"/>
    <w:p w14:paraId="6B1EFD41"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RBI/2023-24/102</w:t>
      </w:r>
      <w:r>
        <w:rPr>
          <w:rFonts w:ascii="Arial" w:hAnsi="Arial" w:cs="Arial"/>
          <w:color w:val="000000"/>
          <w:sz w:val="20"/>
          <w:szCs w:val="20"/>
        </w:rPr>
        <w:br/>
      </w:r>
      <w:proofErr w:type="spellStart"/>
      <w:r>
        <w:rPr>
          <w:rFonts w:ascii="Arial" w:hAnsi="Arial" w:cs="Arial"/>
          <w:color w:val="000000"/>
          <w:sz w:val="20"/>
          <w:szCs w:val="20"/>
        </w:rPr>
        <w:t>DoS.CO.CSITEG</w:t>
      </w:r>
      <w:proofErr w:type="spellEnd"/>
      <w:r>
        <w:rPr>
          <w:rFonts w:ascii="Arial" w:hAnsi="Arial" w:cs="Arial"/>
          <w:color w:val="000000"/>
          <w:sz w:val="20"/>
          <w:szCs w:val="20"/>
        </w:rPr>
        <w:t>/SEC.1/31.01.015/2023-24</w:t>
      </w:r>
    </w:p>
    <w:p w14:paraId="1EE6A372" w14:textId="77777777" w:rsidR="00592E59" w:rsidRDefault="00592E59" w:rsidP="00592E59">
      <w:pPr>
        <w:pStyle w:val="NormalWeb"/>
        <w:jc w:val="right"/>
        <w:rPr>
          <w:rFonts w:ascii="Arial" w:hAnsi="Arial" w:cs="Arial"/>
          <w:color w:val="000000"/>
          <w:sz w:val="20"/>
          <w:szCs w:val="20"/>
        </w:rPr>
      </w:pPr>
      <w:r>
        <w:rPr>
          <w:rFonts w:ascii="Arial" w:hAnsi="Arial" w:cs="Arial"/>
          <w:color w:val="000000"/>
          <w:sz w:val="20"/>
          <w:szCs w:val="20"/>
        </w:rPr>
        <w:t>April 10, 2023</w:t>
      </w:r>
    </w:p>
    <w:p w14:paraId="11191792" w14:textId="77777777" w:rsidR="00592E59" w:rsidRDefault="00592E59" w:rsidP="00592E59">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Scheduled Commercial Banks (excluding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w:t>
      </w:r>
      <w:r>
        <w:rPr>
          <w:rFonts w:ascii="Arial" w:hAnsi="Arial" w:cs="Arial"/>
          <w:color w:val="000000"/>
          <w:sz w:val="20"/>
          <w:szCs w:val="20"/>
        </w:rPr>
        <w:br/>
        <w:t>Non-Banking Financial Companies;</w:t>
      </w:r>
      <w:r>
        <w:rPr>
          <w:rFonts w:ascii="Arial" w:hAnsi="Arial" w:cs="Arial"/>
          <w:color w:val="000000"/>
          <w:sz w:val="20"/>
          <w:szCs w:val="20"/>
        </w:rPr>
        <w:br/>
        <w:t>Credit Information Companies; and</w:t>
      </w:r>
      <w:r>
        <w:rPr>
          <w:rFonts w:ascii="Arial" w:hAnsi="Arial" w:cs="Arial"/>
          <w:color w:val="000000"/>
          <w:sz w:val="20"/>
          <w:szCs w:val="20"/>
        </w:rPr>
        <w:br/>
        <w:t xml:space="preserve">All India Financial Institutions (EXIM Bank, NABARD, </w:t>
      </w:r>
      <w:proofErr w:type="spellStart"/>
      <w:r>
        <w:rPr>
          <w:rFonts w:ascii="Arial" w:hAnsi="Arial" w:cs="Arial"/>
          <w:color w:val="000000"/>
          <w:sz w:val="20"/>
          <w:szCs w:val="20"/>
        </w:rPr>
        <w:t>NaBFID</w:t>
      </w:r>
      <w:proofErr w:type="spellEnd"/>
      <w:r>
        <w:rPr>
          <w:rFonts w:ascii="Arial" w:hAnsi="Arial" w:cs="Arial"/>
          <w:color w:val="000000"/>
          <w:sz w:val="20"/>
          <w:szCs w:val="20"/>
        </w:rPr>
        <w:t>, NHB and SIDBI)</w:t>
      </w:r>
    </w:p>
    <w:p w14:paraId="0AA9F6A3"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Madam/Dear Sir,</w:t>
      </w:r>
    </w:p>
    <w:p w14:paraId="35678057" w14:textId="77777777" w:rsidR="00592E59" w:rsidRDefault="00592E59" w:rsidP="00592E59">
      <w:pPr>
        <w:pStyle w:val="head"/>
        <w:jc w:val="both"/>
        <w:rPr>
          <w:rFonts w:ascii="Arial" w:hAnsi="Arial" w:cs="Arial"/>
          <w:b/>
          <w:bCs/>
          <w:color w:val="000000"/>
          <w:sz w:val="20"/>
          <w:szCs w:val="20"/>
        </w:rPr>
      </w:pPr>
      <w:r>
        <w:rPr>
          <w:rFonts w:ascii="Arial" w:hAnsi="Arial" w:cs="Arial"/>
          <w:b/>
          <w:bCs/>
          <w:color w:val="000000"/>
          <w:sz w:val="20"/>
          <w:szCs w:val="20"/>
        </w:rPr>
        <w:t>Master Direction on Outsourcing of Information Technology Services</w:t>
      </w:r>
    </w:p>
    <w:p w14:paraId="5EB35B20"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Regulated Entities (REs) have been extensively leveraging Information Technology (IT) and IT enabled Services (</w:t>
      </w:r>
      <w:proofErr w:type="spellStart"/>
      <w:r>
        <w:rPr>
          <w:rFonts w:ascii="Arial" w:hAnsi="Arial" w:cs="Arial"/>
          <w:color w:val="000000"/>
          <w:sz w:val="20"/>
          <w:szCs w:val="20"/>
        </w:rPr>
        <w:t>ITeS</w:t>
      </w:r>
      <w:proofErr w:type="spellEnd"/>
      <w:r>
        <w:rPr>
          <w:rFonts w:ascii="Arial" w:hAnsi="Arial" w:cs="Arial"/>
          <w:color w:val="000000"/>
          <w:sz w:val="20"/>
          <w:szCs w:val="20"/>
        </w:rPr>
        <w:t>) to support their business models, products and services offered to their customers. REs also outsource substantial portion of their IT activities to third parties, which expose them to various risks.</w:t>
      </w:r>
    </w:p>
    <w:p w14:paraId="21BBCC71"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2. In order to ensure effective management of attendant risks, the </w:t>
      </w:r>
      <w:hyperlink r:id="rId10" w:tgtFrame="_blank" w:history="1">
        <w:r>
          <w:rPr>
            <w:rStyle w:val="Hyperlink"/>
            <w:rFonts w:ascii="Arial" w:hAnsi="Arial" w:cs="Arial"/>
            <w:sz w:val="20"/>
            <w:szCs w:val="20"/>
          </w:rPr>
          <w:t>Statement on Developmental and Regulatory Policies dated February 10, 2022</w:t>
        </w:r>
      </w:hyperlink>
      <w:r>
        <w:rPr>
          <w:rFonts w:ascii="Arial" w:hAnsi="Arial" w:cs="Arial"/>
          <w:color w:val="000000"/>
          <w:sz w:val="20"/>
          <w:szCs w:val="20"/>
        </w:rPr>
        <w:t>, proposed the issuance of suitable regulatory guidelines on Outsourcing of IT Services. Accordingly, a draft Master Direction on Outsourcing of IT Services was released for public comments in </w:t>
      </w:r>
      <w:hyperlink r:id="rId11" w:tgtFrame="_blank" w:history="1">
        <w:r>
          <w:rPr>
            <w:rStyle w:val="Hyperlink"/>
            <w:rFonts w:ascii="Arial" w:hAnsi="Arial" w:cs="Arial"/>
            <w:sz w:val="20"/>
            <w:szCs w:val="20"/>
          </w:rPr>
          <w:t>June 2022</w:t>
        </w:r>
      </w:hyperlink>
      <w:r>
        <w:rPr>
          <w:rFonts w:ascii="Arial" w:hAnsi="Arial" w:cs="Arial"/>
          <w:color w:val="000000"/>
          <w:sz w:val="20"/>
          <w:szCs w:val="20"/>
        </w:rPr>
        <w:t>. Based on feedback received, the finalised Reserve Bank of India (Outsourcing of Information Technology Services) Directions, 2023 are </w:t>
      </w:r>
      <w:hyperlink r:id="rId12" w:anchor="MD" w:history="1">
        <w:r>
          <w:rPr>
            <w:rStyle w:val="Hyperlink"/>
            <w:rFonts w:ascii="Arial" w:hAnsi="Arial" w:cs="Arial"/>
            <w:sz w:val="20"/>
            <w:szCs w:val="20"/>
          </w:rPr>
          <w:t>enclosed</w:t>
        </w:r>
      </w:hyperlink>
      <w:r>
        <w:rPr>
          <w:rFonts w:ascii="Arial" w:hAnsi="Arial" w:cs="Arial"/>
          <w:color w:val="000000"/>
          <w:sz w:val="20"/>
          <w:szCs w:val="20"/>
        </w:rPr>
        <w:t> herewith.</w:t>
      </w:r>
    </w:p>
    <w:p w14:paraId="3C9EE185"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3. The underlying principle of these Directions is to ensure that outsourcing arrangements neither diminish REs ability to fulfil its obligations to customers nor impede effective supervision by the RBI.</w:t>
      </w:r>
    </w:p>
    <w:p w14:paraId="363E7652"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4. With a view to provide REs adequate time to comply with the requirements, the enclosed Directions shall come into effect from October 1, 2023.</w:t>
      </w:r>
    </w:p>
    <w:p w14:paraId="154DFAD0"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Yours faithfully,</w:t>
      </w:r>
    </w:p>
    <w:p w14:paraId="6B9BBAED"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T.K.Rajan</w:t>
      </w:r>
      <w:proofErr w:type="spellEnd"/>
      <w:r>
        <w:rPr>
          <w:rFonts w:ascii="Arial" w:hAnsi="Arial" w:cs="Arial"/>
          <w:color w:val="000000"/>
          <w:sz w:val="20"/>
          <w:szCs w:val="20"/>
        </w:rPr>
        <w:t>)</w:t>
      </w:r>
      <w:r>
        <w:rPr>
          <w:rFonts w:ascii="Arial" w:hAnsi="Arial" w:cs="Arial"/>
          <w:color w:val="000000"/>
          <w:sz w:val="20"/>
          <w:szCs w:val="20"/>
        </w:rPr>
        <w:br/>
        <w:t>Chief General Manager</w:t>
      </w:r>
    </w:p>
    <w:p w14:paraId="505F0D3C" w14:textId="77777777" w:rsidR="00592E59" w:rsidRDefault="00592E59" w:rsidP="00592E59">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Reserve Bank of India (Outsourcing of Information Technology Services) Directions, 2023</w:t>
      </w:r>
    </w:p>
    <w:p w14:paraId="698B8971" w14:textId="77777777" w:rsidR="00592E59" w:rsidRPr="004D35B6" w:rsidRDefault="00592E59" w:rsidP="00592E59">
      <w:pPr>
        <w:spacing w:after="0"/>
      </w:pPr>
    </w:p>
    <w:p w14:paraId="29249B4E" w14:textId="77777777" w:rsidR="00592E59" w:rsidRDefault="00592E59" w:rsidP="00592E59">
      <w:pPr>
        <w:pStyle w:val="NormalWeb"/>
        <w:rPr>
          <w:rFonts w:ascii="Arial" w:hAnsi="Arial" w:cs="Arial"/>
          <w:bCs/>
          <w:color w:val="000000"/>
          <w:sz w:val="20"/>
          <w:szCs w:val="20"/>
        </w:rPr>
      </w:pPr>
    </w:p>
    <w:p w14:paraId="7C66BE59" w14:textId="77777777" w:rsidR="00592E59" w:rsidRDefault="00592E59" w:rsidP="00592E59">
      <w:pPr>
        <w:spacing w:after="0"/>
      </w:pPr>
      <w:r>
        <w:t>More details can be referred to in the below link.</w:t>
      </w:r>
    </w:p>
    <w:p w14:paraId="0CA15352" w14:textId="77777777" w:rsidR="00592E59" w:rsidRDefault="00592E59" w:rsidP="00592E5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3" w:history="1">
        <w:r w:rsidRPr="005F425E">
          <w:rPr>
            <w:rStyle w:val="Hyperlink"/>
            <w:rFonts w:ascii="Arial" w:hAnsi="Arial" w:cs="Arial"/>
            <w:bCs/>
            <w:sz w:val="20"/>
            <w:szCs w:val="20"/>
          </w:rPr>
          <w:t>https://rbi.org.in/Scripts/NotificationUser.aspx?Id=12486&amp;Mode=0</w:t>
        </w:r>
      </w:hyperlink>
    </w:p>
    <w:bookmarkEnd w:id="5"/>
    <w:p w14:paraId="2406355A" w14:textId="77777777" w:rsidR="00592E59" w:rsidRDefault="00592E59" w:rsidP="00592E59">
      <w:pPr>
        <w:pStyle w:val="NormalWeb"/>
        <w:rPr>
          <w:rFonts w:ascii="Arial" w:hAnsi="Arial" w:cs="Arial"/>
          <w:bCs/>
          <w:color w:val="000000"/>
          <w:sz w:val="20"/>
          <w:szCs w:val="20"/>
        </w:rPr>
      </w:pPr>
    </w:p>
    <w:p w14:paraId="71D02F61" w14:textId="77777777" w:rsidR="00592E59" w:rsidRDefault="00592E59" w:rsidP="001E109C">
      <w:pPr>
        <w:rPr>
          <w:b/>
          <w:bCs/>
          <w:lang w:val="en-US"/>
        </w:rPr>
      </w:pPr>
    </w:p>
    <w:p w14:paraId="40DF8956" w14:textId="77777777" w:rsidR="00592E59" w:rsidRDefault="00592E59" w:rsidP="001E109C">
      <w:pPr>
        <w:rPr>
          <w:b/>
          <w:bCs/>
          <w:lang w:val="en-US"/>
        </w:rPr>
      </w:pPr>
    </w:p>
    <w:p w14:paraId="559C73D9" w14:textId="77777777" w:rsidR="00592E59" w:rsidRDefault="00592E59" w:rsidP="00592E59">
      <w:pPr>
        <w:pStyle w:val="NormalWeb"/>
        <w:spacing w:before="240" w:beforeAutospacing="0"/>
        <w:rPr>
          <w:rFonts w:ascii="Arial" w:hAnsi="Arial" w:cs="Arial"/>
          <w:b/>
          <w:bCs/>
          <w:color w:val="000000"/>
          <w:sz w:val="20"/>
          <w:szCs w:val="20"/>
        </w:rPr>
      </w:pPr>
      <w:bookmarkStart w:id="6" w:name="OLE_LINK82"/>
      <w:bookmarkStart w:id="7" w:name="_Hlk141826701"/>
      <w:r>
        <w:rPr>
          <w:rFonts w:ascii="Arial" w:hAnsi="Arial" w:cs="Arial"/>
          <w:b/>
          <w:bCs/>
          <w:color w:val="000000"/>
          <w:sz w:val="20"/>
          <w:szCs w:val="20"/>
        </w:rPr>
        <w:lastRenderedPageBreak/>
        <w:t>Guidelines on Default Loss Guarantee (DLG) in Digital Lending</w:t>
      </w:r>
    </w:p>
    <w:bookmarkEnd w:id="6"/>
    <w:p w14:paraId="6E153208"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14:paraId="3E2D53D1" w14:textId="77777777" w:rsidR="00592E59" w:rsidRDefault="00592E59" w:rsidP="00592E59">
      <w:pPr>
        <w:pStyle w:val="NormalWeb"/>
        <w:jc w:val="right"/>
        <w:rPr>
          <w:rFonts w:ascii="Arial" w:hAnsi="Arial" w:cs="Arial"/>
          <w:color w:val="000000"/>
          <w:sz w:val="20"/>
          <w:szCs w:val="20"/>
        </w:rPr>
      </w:pPr>
      <w:r>
        <w:rPr>
          <w:rFonts w:ascii="Arial" w:hAnsi="Arial" w:cs="Arial"/>
          <w:color w:val="000000"/>
          <w:sz w:val="20"/>
          <w:szCs w:val="20"/>
        </w:rPr>
        <w:t>June 08, 2023</w:t>
      </w:r>
    </w:p>
    <w:p w14:paraId="6BF55CF4" w14:textId="77777777" w:rsidR="00592E59" w:rsidRDefault="00592E59" w:rsidP="00592E59">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14:paraId="3EFBE949"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Madam/ Dear Sir,</w:t>
      </w:r>
    </w:p>
    <w:p w14:paraId="61317E0B" w14:textId="77777777" w:rsidR="00592E59" w:rsidRDefault="00592E59" w:rsidP="00592E59">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14:paraId="42BD54BF"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14"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14:paraId="7468FAAD"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15"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16"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17"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14:paraId="7A65B023"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14:paraId="2A232122"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14:paraId="20BAD6EB" w14:textId="77777777" w:rsidR="00592E59" w:rsidRDefault="00592E59" w:rsidP="00592E59">
      <w:pPr>
        <w:pStyle w:val="NormalWeb"/>
        <w:jc w:val="both"/>
        <w:rPr>
          <w:rFonts w:ascii="Arial" w:hAnsi="Arial" w:cs="Arial"/>
          <w:color w:val="000000"/>
          <w:sz w:val="20"/>
          <w:szCs w:val="20"/>
        </w:rPr>
      </w:pPr>
      <w:r>
        <w:rPr>
          <w:rFonts w:ascii="Arial" w:hAnsi="Arial" w:cs="Arial"/>
          <w:color w:val="000000"/>
          <w:sz w:val="20"/>
          <w:szCs w:val="20"/>
        </w:rPr>
        <w:t>Yours faithfully,</w:t>
      </w:r>
    </w:p>
    <w:p w14:paraId="3AD3A660" w14:textId="77777777" w:rsidR="00592E59" w:rsidRDefault="00592E59" w:rsidP="00592E59">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64A282C5" w14:textId="77777777" w:rsidR="00592E59" w:rsidRDefault="00592E59" w:rsidP="00592E59">
      <w:pPr>
        <w:spacing w:before="240" w:after="0"/>
      </w:pPr>
      <w:r>
        <w:t>More details can be referred to in the below link.</w:t>
      </w:r>
    </w:p>
    <w:p w14:paraId="497FADDC" w14:textId="77777777" w:rsidR="00592E59" w:rsidRDefault="00592E59" w:rsidP="00592E59">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 w:history="1">
        <w:r w:rsidRPr="005F425E">
          <w:rPr>
            <w:rStyle w:val="Hyperlink"/>
            <w:rFonts w:ascii="Arial" w:hAnsi="Arial" w:cs="Arial"/>
            <w:bCs/>
            <w:sz w:val="20"/>
            <w:szCs w:val="20"/>
          </w:rPr>
          <w:t>https://rbi.org.in/Scripts/NotificationUser.aspx?Id=12514&amp;Mode=0</w:t>
        </w:r>
      </w:hyperlink>
    </w:p>
    <w:p w14:paraId="423DB926" w14:textId="77777777" w:rsidR="00592E59" w:rsidRDefault="00592E59" w:rsidP="00592E59">
      <w:pPr>
        <w:pStyle w:val="NormalWeb"/>
        <w:rPr>
          <w:rFonts w:ascii="Arial" w:hAnsi="Arial" w:cs="Arial"/>
          <w:bCs/>
          <w:color w:val="000000"/>
          <w:sz w:val="20"/>
          <w:szCs w:val="20"/>
        </w:rPr>
      </w:pPr>
    </w:p>
    <w:p w14:paraId="54F4B3AE" w14:textId="77777777" w:rsidR="00592E59" w:rsidRDefault="00592E59" w:rsidP="00592E59">
      <w:pPr>
        <w:pStyle w:val="NormalWeb"/>
        <w:rPr>
          <w:rFonts w:ascii="Arial" w:hAnsi="Arial" w:cs="Arial"/>
          <w:bCs/>
          <w:color w:val="000000"/>
          <w:sz w:val="20"/>
          <w:szCs w:val="20"/>
        </w:rPr>
      </w:pPr>
    </w:p>
    <w:p w14:paraId="4A9E01FC" w14:textId="77777777" w:rsidR="00592E59" w:rsidRDefault="00592E59" w:rsidP="00592E59">
      <w:pPr>
        <w:pStyle w:val="NormalWeb"/>
        <w:rPr>
          <w:rFonts w:ascii="Arial" w:hAnsi="Arial" w:cs="Arial"/>
          <w:bCs/>
          <w:color w:val="000000"/>
          <w:sz w:val="20"/>
          <w:szCs w:val="20"/>
        </w:rPr>
      </w:pPr>
    </w:p>
    <w:p w14:paraId="2ABF1057" w14:textId="77777777" w:rsidR="00592E59" w:rsidRDefault="00592E59" w:rsidP="00592E59">
      <w:pPr>
        <w:pStyle w:val="NormalWeb"/>
        <w:rPr>
          <w:rFonts w:ascii="Arial" w:hAnsi="Arial" w:cs="Arial"/>
          <w:bCs/>
          <w:color w:val="000000"/>
          <w:sz w:val="20"/>
          <w:szCs w:val="20"/>
        </w:rPr>
      </w:pPr>
    </w:p>
    <w:p w14:paraId="7EE2B3BE" w14:textId="77777777" w:rsidR="00592E59" w:rsidRDefault="00592E59" w:rsidP="00592E59">
      <w:pPr>
        <w:pStyle w:val="NormalWeb"/>
        <w:rPr>
          <w:rFonts w:ascii="Arial" w:hAnsi="Arial" w:cs="Arial"/>
          <w:bCs/>
          <w:color w:val="000000"/>
          <w:sz w:val="20"/>
          <w:szCs w:val="20"/>
        </w:rPr>
      </w:pPr>
    </w:p>
    <w:p w14:paraId="5A166D91" w14:textId="77777777" w:rsidR="00592E59" w:rsidRDefault="00592E59" w:rsidP="00592E59">
      <w:pPr>
        <w:pStyle w:val="NormalWeb"/>
        <w:rPr>
          <w:rFonts w:ascii="Arial" w:hAnsi="Arial" w:cs="Arial"/>
          <w:bCs/>
          <w:color w:val="000000"/>
          <w:sz w:val="20"/>
          <w:szCs w:val="20"/>
        </w:rPr>
      </w:pPr>
    </w:p>
    <w:bookmarkEnd w:id="7"/>
    <w:p w14:paraId="73AF1657" w14:textId="77777777" w:rsidR="00592E59" w:rsidRPr="001E109C" w:rsidRDefault="00592E59" w:rsidP="001E109C">
      <w:pPr>
        <w:rPr>
          <w:b/>
          <w:bCs/>
          <w:lang w:val="en-US"/>
        </w:rPr>
      </w:pPr>
    </w:p>
    <w:sectPr w:rsidR="00592E59" w:rsidRPr="001E1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9D"/>
    <w:rsid w:val="001C3B05"/>
    <w:rsid w:val="001E109C"/>
    <w:rsid w:val="00252F4D"/>
    <w:rsid w:val="00592E59"/>
    <w:rsid w:val="00763B3E"/>
    <w:rsid w:val="0098409D"/>
    <w:rsid w:val="00CA0B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14FE"/>
  <w15:chartTrackingRefBased/>
  <w15:docId w15:val="{3BE6830D-F4FE-41C1-9F76-2D8B75E7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2E5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592E5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592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30775">
      <w:bodyDiv w:val="1"/>
      <w:marLeft w:val="0"/>
      <w:marRight w:val="0"/>
      <w:marTop w:val="0"/>
      <w:marBottom w:val="0"/>
      <w:divBdr>
        <w:top w:val="none" w:sz="0" w:space="0" w:color="auto"/>
        <w:left w:val="none" w:sz="0" w:space="0" w:color="auto"/>
        <w:bottom w:val="none" w:sz="0" w:space="0" w:color="auto"/>
        <w:right w:val="none" w:sz="0" w:space="0" w:color="auto"/>
      </w:divBdr>
    </w:div>
    <w:div w:id="13229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2454&amp;Mode=0" TargetMode="External"/><Relationship Id="rId13" Type="http://schemas.openxmlformats.org/officeDocument/2006/relationships/hyperlink" Target="https://rbi.org.in/Scripts/NotificationUser.aspx?Id=12486&amp;Mode=0" TargetMode="External"/><Relationship Id="rId18" Type="http://schemas.openxmlformats.org/officeDocument/2006/relationships/hyperlink" Target="https://rbi.org.in/Scripts/NotificationUser.aspx?Id=12514&amp;Mode=0" TargetMode="External"/><Relationship Id="rId3" Type="http://schemas.openxmlformats.org/officeDocument/2006/relationships/webSettings" Target="webSettings.xml"/><Relationship Id="rId7" Type="http://schemas.openxmlformats.org/officeDocument/2006/relationships/hyperlink" Target="https://rbi.org.in/Scripts/NotificationUser.aspx?Id=12452&amp;Mode=0" TargetMode="External"/><Relationship Id="rId12" Type="http://schemas.openxmlformats.org/officeDocument/2006/relationships/hyperlink" Target="https://rbi.org.in/Scripts/NotificationUser.aspx?Id=12486&amp;Mode=0" TargetMode="External"/><Relationship Id="rId17" Type="http://schemas.openxmlformats.org/officeDocument/2006/relationships/hyperlink" Target="https://rbi.org.in/Scripts/NotificationUser.aspx?Id=12514&amp;Mode=0" TargetMode="External"/><Relationship Id="rId2" Type="http://schemas.openxmlformats.org/officeDocument/2006/relationships/settings" Target="settings.xml"/><Relationship Id="rId16" Type="http://schemas.openxmlformats.org/officeDocument/2006/relationships/hyperlink" Target="https://rbi.org.in/Scripts/NotificationUser.aspx?Id=12514&amp;Mode=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bi.org.in/Scripts/BS_ViewMasDirections.aspx?id=12156" TargetMode="External"/><Relationship Id="rId11" Type="http://schemas.openxmlformats.org/officeDocument/2006/relationships/hyperlink" Target="https://www.rbi.org.in/Scripts/BS_PressReleaseDisplay.aspx?prid=53911" TargetMode="External"/><Relationship Id="rId5" Type="http://schemas.openxmlformats.org/officeDocument/2006/relationships/hyperlink" Target="https://www.rbi.org.in/Scripts/BS_ViewMasDirections.aspx?id=12156" TargetMode="External"/><Relationship Id="rId15" Type="http://schemas.openxmlformats.org/officeDocument/2006/relationships/hyperlink" Target="https://rbi.org.in/Scripts/NotificationUser.aspx?Id=12514&amp;Mode=0" TargetMode="External"/><Relationship Id="rId10" Type="http://schemas.openxmlformats.org/officeDocument/2006/relationships/hyperlink" Target="https://www.rbi.org.in/Scripts/BS_PressReleaseDisplay.aspx?prid=53248" TargetMode="External"/><Relationship Id="rId19" Type="http://schemas.openxmlformats.org/officeDocument/2006/relationships/fontTable" Target="fontTable.xml"/><Relationship Id="rId4" Type="http://schemas.openxmlformats.org/officeDocument/2006/relationships/hyperlink" Target="https://www.rbi.org.in/Scripts/BS_PressReleaseDisplay.aspx?prid=55179" TargetMode="External"/><Relationship Id="rId9" Type="http://schemas.openxmlformats.org/officeDocument/2006/relationships/hyperlink" Target="https://rbi.org.in/Scripts/NotificationUser.aspx?Id=12454&amp;Mode=0" TargetMode="External"/><Relationship Id="rId14" Type="http://schemas.openxmlformats.org/officeDocument/2006/relationships/hyperlink" Target="https://rbi.org.in/Scripts/BS_PressReleaseDisplay.aspx?prid=54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cp:revision>
  <dcterms:created xsi:type="dcterms:W3CDTF">2023-08-01T17:00:00Z</dcterms:created>
  <dcterms:modified xsi:type="dcterms:W3CDTF">2023-08-02T05:02:00Z</dcterms:modified>
</cp:coreProperties>
</file>